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D9171A" w:rsidTr="00D9171A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D9171A" w:rsidRDefault="00D9171A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D9171A" w:rsidRDefault="00D9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D9171A" w:rsidRDefault="00D9171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D9171A" w:rsidRDefault="00D9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D9171A" w:rsidRDefault="00D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D9171A" w:rsidRDefault="00D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D9171A" w:rsidRDefault="00D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D9171A" w:rsidRDefault="00D9171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D9171A" w:rsidRDefault="00D9171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D9171A" w:rsidRDefault="00D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D9171A" w:rsidTr="00D9171A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171A" w:rsidRDefault="00D9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D9171A" w:rsidRDefault="00D9171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D9171A" w:rsidRDefault="00D9171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D9171A" w:rsidRDefault="00D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9171A" w:rsidRDefault="00D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171A" w:rsidRDefault="00D9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D9171A" w:rsidRDefault="00D9171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D9171A" w:rsidRDefault="00D9171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D9171A" w:rsidRDefault="00D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5B4A36" w:rsidRPr="00D9171A" w:rsidRDefault="00D9171A" w:rsidP="00D91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171A" w:rsidRPr="00D9171A" w:rsidRDefault="00392FA3" w:rsidP="00D91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 от 3 июня</w:t>
      </w:r>
      <w:r w:rsidR="00D9171A" w:rsidRPr="00D9171A">
        <w:rPr>
          <w:rFonts w:ascii="Times New Roman" w:hAnsi="Times New Roman" w:cs="Times New Roman"/>
          <w:b/>
          <w:sz w:val="28"/>
          <w:szCs w:val="28"/>
        </w:rPr>
        <w:t xml:space="preserve"> 2021 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71A" w:rsidRPr="00D9171A" w:rsidRDefault="00D9171A" w:rsidP="00D9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sz w:val="28"/>
          <w:szCs w:val="28"/>
        </w:rPr>
        <w:t xml:space="preserve">О создании и организации работы штаба оповещения </w:t>
      </w:r>
    </w:p>
    <w:p w:rsidR="00D9171A" w:rsidRPr="00D9171A" w:rsidRDefault="00D9171A" w:rsidP="00D9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sz w:val="28"/>
          <w:szCs w:val="28"/>
        </w:rPr>
        <w:t>и пункта сбора граждан, пребывающих в запасе</w:t>
      </w:r>
    </w:p>
    <w:p w:rsidR="00D9171A" w:rsidRPr="00D9171A" w:rsidRDefault="00D9171A" w:rsidP="00D9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gramStart"/>
      <w:r w:rsidRPr="00D9171A"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26 февраля 1997 года № 31-ФЗ «О мобилизационной подготовке и мобилизации в Российской Федерации» и постановлением Правительства Российской Федерации от 30 декабря 2006 года № 852 «</w:t>
      </w:r>
      <w:r w:rsidRPr="00D9171A">
        <w:rPr>
          <w:rFonts w:ascii="Times New Roman" w:hAnsi="Times New Roman" w:cs="Times New Roman"/>
          <w:kern w:val="36"/>
          <w:sz w:val="28"/>
          <w:szCs w:val="28"/>
        </w:rPr>
        <w:t>Об утверждении положения о призыве граждан Российской Федерации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</w:t>
      </w:r>
      <w:proofErr w:type="gramEnd"/>
      <w:r w:rsidRPr="00D9171A">
        <w:rPr>
          <w:rFonts w:ascii="Times New Roman" w:hAnsi="Times New Roman" w:cs="Times New Roman"/>
          <w:kern w:val="36"/>
          <w:sz w:val="28"/>
          <w:szCs w:val="28"/>
        </w:rPr>
        <w:t xml:space="preserve">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формирований»</w:t>
      </w:r>
    </w:p>
    <w:p w:rsidR="00D9171A" w:rsidRPr="00D9171A" w:rsidRDefault="00D9171A" w:rsidP="00D9171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Pr="00D9171A">
        <w:rPr>
          <w:rFonts w:ascii="Times New Roman" w:hAnsi="Times New Roman" w:cs="Times New Roman"/>
          <w:sz w:val="28"/>
          <w:szCs w:val="28"/>
        </w:rPr>
        <w:t xml:space="preserve"> </w:t>
      </w:r>
      <w:r w:rsidRPr="00D9171A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Pr="00D9171A">
        <w:rPr>
          <w:rFonts w:ascii="Times New Roman" w:hAnsi="Times New Roman" w:cs="Times New Roman"/>
          <w:sz w:val="28"/>
          <w:szCs w:val="28"/>
        </w:rPr>
        <w:t>:</w:t>
      </w:r>
    </w:p>
    <w:p w:rsidR="00D9171A" w:rsidRPr="00D9171A" w:rsidRDefault="00D9171A" w:rsidP="00D9171A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sz w:val="28"/>
          <w:szCs w:val="28"/>
        </w:rPr>
        <w:t xml:space="preserve">Создать при объявлении мобилизации в Российской Федерации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Шиньшинскоцй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D9171A">
        <w:rPr>
          <w:rFonts w:ascii="Times New Roman" w:hAnsi="Times New Roman" w:cs="Times New Roman"/>
          <w:sz w:val="28"/>
          <w:szCs w:val="28"/>
        </w:rPr>
        <w:t xml:space="preserve"> штаб оповещения и пункт сбора граждан, пребывающих в запасе по адресу: Республика Марий Эл, Моркинский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иньша</w:t>
      </w:r>
      <w:proofErr w:type="spellEnd"/>
      <w:r>
        <w:rPr>
          <w:rFonts w:ascii="Times New Roman" w:hAnsi="Times New Roman" w:cs="Times New Roman"/>
          <w:sz w:val="28"/>
          <w:szCs w:val="28"/>
        </w:rPr>
        <w:t>. ул.Петрова, д. 1</w:t>
      </w:r>
      <w:r w:rsidRPr="00D9171A">
        <w:rPr>
          <w:rFonts w:ascii="Times New Roman" w:hAnsi="Times New Roman" w:cs="Times New Roman"/>
          <w:sz w:val="28"/>
          <w:szCs w:val="28"/>
        </w:rPr>
        <w:t>.</w:t>
      </w:r>
    </w:p>
    <w:p w:rsidR="00D9171A" w:rsidRPr="00D9171A" w:rsidRDefault="00D9171A" w:rsidP="00D9171A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sz w:val="28"/>
          <w:szCs w:val="28"/>
        </w:rPr>
        <w:t xml:space="preserve">Определить состав штаба оповещения и пункта сбора граждан, пребывающих в запасе (далее ШО и ПС) </w:t>
      </w:r>
      <w:proofErr w:type="gramStart"/>
      <w:r w:rsidRPr="00D9171A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Pr="00D9171A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9171A" w:rsidRPr="00D9171A" w:rsidRDefault="00D9171A" w:rsidP="00D9171A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sz w:val="28"/>
          <w:szCs w:val="28"/>
        </w:rPr>
        <w:t xml:space="preserve">Утвердить схему организации и проведения оповещения граждан, пребывающих в запасе и имеющих мобилизационные предписания, а также граждан - владельцев транспортных средств (приложение № 2). </w:t>
      </w:r>
    </w:p>
    <w:p w:rsidR="00D9171A" w:rsidRPr="00D9171A" w:rsidRDefault="00D9171A" w:rsidP="00D9171A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sz w:val="28"/>
          <w:szCs w:val="28"/>
        </w:rPr>
        <w:t xml:space="preserve">Организовать круглосуточное дежурство состава ШО и ПС </w:t>
      </w:r>
      <w:proofErr w:type="gramStart"/>
      <w:r w:rsidRPr="00D9171A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D9171A">
        <w:rPr>
          <w:rFonts w:ascii="Times New Roman" w:hAnsi="Times New Roman" w:cs="Times New Roman"/>
          <w:sz w:val="28"/>
          <w:szCs w:val="28"/>
        </w:rPr>
        <w:t>.</w:t>
      </w:r>
    </w:p>
    <w:p w:rsidR="00D9171A" w:rsidRPr="00D9171A" w:rsidRDefault="00D9171A" w:rsidP="00D9171A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sz w:val="28"/>
          <w:szCs w:val="28"/>
        </w:rPr>
        <w:t>Организовать связь с пунктом управления военного комиссариата Моркинского района:</w:t>
      </w:r>
    </w:p>
    <w:p w:rsidR="00D9171A" w:rsidRPr="00D9171A" w:rsidRDefault="00D9171A" w:rsidP="00D9171A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sz w:val="28"/>
          <w:szCs w:val="28"/>
        </w:rPr>
        <w:t>- по телефонным каналам связи;</w:t>
      </w:r>
    </w:p>
    <w:p w:rsidR="00D9171A" w:rsidRPr="00D9171A" w:rsidRDefault="00D9171A" w:rsidP="00D9171A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sz w:val="28"/>
          <w:szCs w:val="28"/>
        </w:rPr>
        <w:t>- нарочными (посыльными).</w:t>
      </w:r>
    </w:p>
    <w:p w:rsidR="00D9171A" w:rsidRPr="00D9171A" w:rsidRDefault="00D9171A" w:rsidP="00D9171A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организации оповещения и доставки граждан, пребывающих в запасе и состава аппарата усиления использовать транспортные средства </w:t>
      </w:r>
      <w:proofErr w:type="gramStart"/>
      <w:r w:rsidRPr="00D9171A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Pr="00D9171A">
        <w:rPr>
          <w:rFonts w:ascii="Times New Roman" w:hAnsi="Times New Roman" w:cs="Times New Roman"/>
          <w:sz w:val="28"/>
          <w:szCs w:val="28"/>
        </w:rPr>
        <w:t xml:space="preserve"> (приложение № 3). </w:t>
      </w:r>
    </w:p>
    <w:p w:rsidR="00D9171A" w:rsidRPr="00D9171A" w:rsidRDefault="00D9171A" w:rsidP="00D9171A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71A">
        <w:rPr>
          <w:rFonts w:ascii="Times New Roman" w:hAnsi="Times New Roman" w:cs="Times New Roman"/>
          <w:sz w:val="28"/>
          <w:szCs w:val="28"/>
        </w:rPr>
        <w:t>Рекомендовать владельцам транспортных средств (собственникам) выделять транспортные средства в соответствии с порядком и в сроки, установленными Министерством обороны Российской Федерации.</w:t>
      </w:r>
      <w:proofErr w:type="gramEnd"/>
    </w:p>
    <w:p w:rsidR="00D9171A" w:rsidRPr="00D9171A" w:rsidRDefault="00D9171A" w:rsidP="00D9171A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sz w:val="28"/>
          <w:szCs w:val="28"/>
        </w:rPr>
        <w:t xml:space="preserve">Доклады и донесения представлять в сроки, установленные табелем срочных донесений. </w:t>
      </w:r>
    </w:p>
    <w:p w:rsidR="00D9171A" w:rsidRPr="00D9171A" w:rsidRDefault="00D9171A" w:rsidP="00D9171A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sz w:val="28"/>
          <w:szCs w:val="28"/>
        </w:rPr>
        <w:t xml:space="preserve">Возложить на военно-учетного работника </w:t>
      </w:r>
      <w:r>
        <w:rPr>
          <w:rFonts w:ascii="Times New Roman" w:hAnsi="Times New Roman" w:cs="Times New Roman"/>
          <w:sz w:val="28"/>
          <w:szCs w:val="28"/>
        </w:rPr>
        <w:t>Сергееву Т.Н.</w:t>
      </w:r>
      <w:r w:rsidRPr="00D9171A">
        <w:rPr>
          <w:rFonts w:ascii="Times New Roman" w:hAnsi="Times New Roman" w:cs="Times New Roman"/>
          <w:sz w:val="28"/>
          <w:szCs w:val="28"/>
        </w:rPr>
        <w:t xml:space="preserve"> обязанности по разработке и поддержанию в актуальном состоянии документов ШО и ПС.</w:t>
      </w:r>
    </w:p>
    <w:p w:rsidR="00392FA3" w:rsidRDefault="00D9171A" w:rsidP="00D9171A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92FA3">
        <w:rPr>
          <w:rFonts w:ascii="Times New Roman" w:hAnsi="Times New Roman" w:cs="Times New Roman"/>
          <w:sz w:val="28"/>
          <w:szCs w:val="28"/>
        </w:rPr>
        <w:t>;</w:t>
      </w:r>
    </w:p>
    <w:p w:rsidR="00392FA3" w:rsidRDefault="00392FA3" w:rsidP="0039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D9171A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D9171A" w:rsidRPr="00D91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71A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="00D9171A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от14.01.2021 г.</w:t>
      </w:r>
    </w:p>
    <w:p w:rsidR="00392FA3" w:rsidRDefault="00392FA3" w:rsidP="0039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4»»О создании штаба оповещения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оборонных    мероприятии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администрации»;</w:t>
      </w:r>
    </w:p>
    <w:p w:rsidR="00392FA3" w:rsidRDefault="00392FA3" w:rsidP="0039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распоряжение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14.01.2021 г. № 5 « Об обеспечении проведения мобилизации людских и транспортных ресурсов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392FA3" w:rsidRDefault="00392FA3" w:rsidP="0039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распоряжение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14.01.2021 г. № 6 «О создании и организации работы штаба оповещения и пункта сбора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9171A" w:rsidRPr="00D9171A" w:rsidRDefault="00D9171A" w:rsidP="00D9171A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71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9171A" w:rsidRPr="00D9171A" w:rsidRDefault="00D9171A" w:rsidP="00D917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71A" w:rsidRDefault="00D9171A" w:rsidP="00392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sz w:val="28"/>
          <w:szCs w:val="28"/>
        </w:rPr>
        <w:t xml:space="preserve">            Глава </w:t>
      </w:r>
      <w:proofErr w:type="spellStart"/>
      <w:r w:rsidR="00392FA3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392FA3" w:rsidRPr="00D9171A" w:rsidRDefault="00392FA3" w:rsidP="00392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сельской администрации                                        П.С.Иванова</w:t>
      </w: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sz w:val="28"/>
          <w:szCs w:val="28"/>
        </w:rPr>
        <w:t>Оборотная сторона:</w:t>
      </w: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sz w:val="28"/>
          <w:szCs w:val="28"/>
        </w:rPr>
        <w:t>Исполнитель:</w:t>
      </w:r>
    </w:p>
    <w:tbl>
      <w:tblPr>
        <w:tblW w:w="9782" w:type="dxa"/>
        <w:tblInd w:w="-176" w:type="dxa"/>
        <w:tblLook w:val="04A0"/>
      </w:tblPr>
      <w:tblGrid>
        <w:gridCol w:w="2978"/>
        <w:gridCol w:w="2126"/>
        <w:gridCol w:w="1984"/>
        <w:gridCol w:w="2694"/>
      </w:tblGrid>
      <w:tr w:rsidR="00D9171A" w:rsidRPr="00D9171A" w:rsidTr="00110F67">
        <w:tc>
          <w:tcPr>
            <w:tcW w:w="2978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Военно-учетный работник</w:t>
            </w:r>
          </w:p>
        </w:tc>
        <w:tc>
          <w:tcPr>
            <w:tcW w:w="2126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98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А. Петрова</w:t>
            </w:r>
          </w:p>
        </w:tc>
        <w:tc>
          <w:tcPr>
            <w:tcW w:w="269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 xml:space="preserve">«__» мая 2021 г. </w:t>
            </w:r>
          </w:p>
        </w:tc>
      </w:tr>
      <w:tr w:rsidR="00D9171A" w:rsidRPr="00D9171A" w:rsidTr="00110F67">
        <w:tc>
          <w:tcPr>
            <w:tcW w:w="2978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978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Ознакомлены:</w:t>
            </w:r>
          </w:p>
        </w:tc>
        <w:tc>
          <w:tcPr>
            <w:tcW w:w="2126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978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98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«__» мая 2021 г.</w:t>
            </w:r>
          </w:p>
        </w:tc>
      </w:tr>
      <w:tr w:rsidR="00D9171A" w:rsidRPr="00D9171A" w:rsidTr="00110F67">
        <w:tc>
          <w:tcPr>
            <w:tcW w:w="2978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98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«__» мая 2021 г.</w:t>
            </w:r>
          </w:p>
        </w:tc>
      </w:tr>
      <w:tr w:rsidR="00D9171A" w:rsidRPr="00D9171A" w:rsidTr="00110F67">
        <w:tc>
          <w:tcPr>
            <w:tcW w:w="2978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126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98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«__» мая 2021 г.</w:t>
            </w:r>
          </w:p>
        </w:tc>
      </w:tr>
      <w:tr w:rsidR="00D9171A" w:rsidRPr="00D9171A" w:rsidTr="00110F67">
        <w:tc>
          <w:tcPr>
            <w:tcW w:w="2978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978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978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978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978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978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978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978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978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978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32" w:type="dxa"/>
        <w:tblLook w:val="04A0"/>
      </w:tblPr>
      <w:tblGrid>
        <w:gridCol w:w="4170"/>
        <w:gridCol w:w="4369"/>
      </w:tblGrid>
      <w:tr w:rsidR="00D9171A" w:rsidRPr="00D9171A" w:rsidTr="00110F67">
        <w:tc>
          <w:tcPr>
            <w:tcW w:w="4643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proofErr w:type="spellStart"/>
            <w:r w:rsidR="00ED4ADF">
              <w:rPr>
                <w:rFonts w:ascii="Times New Roman" w:hAnsi="Times New Roman" w:cs="Times New Roman"/>
                <w:sz w:val="28"/>
                <w:szCs w:val="28"/>
              </w:rPr>
              <w:t>Шиньшинской</w:t>
            </w:r>
            <w:proofErr w:type="spellEnd"/>
          </w:p>
          <w:p w:rsidR="00ED4ADF" w:rsidRPr="00D9171A" w:rsidRDefault="00ED4ADF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</w:t>
            </w:r>
          </w:p>
          <w:p w:rsidR="00D9171A" w:rsidRPr="00D9171A" w:rsidRDefault="00D9171A" w:rsidP="00ED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D4ADF">
              <w:rPr>
                <w:rFonts w:ascii="Times New Roman" w:hAnsi="Times New Roman" w:cs="Times New Roman"/>
                <w:sz w:val="28"/>
                <w:szCs w:val="28"/>
              </w:rPr>
              <w:t>3.06.2021 № 42</w:t>
            </w: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ED4ADF" w:rsidRDefault="00D9171A" w:rsidP="00D9171A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ED4ADF">
        <w:rPr>
          <w:rFonts w:ascii="Times New Roman" w:hAnsi="Times New Roman" w:cs="Times New Roman"/>
          <w:color w:val="auto"/>
        </w:rPr>
        <w:t>СОСТАВ</w:t>
      </w:r>
    </w:p>
    <w:p w:rsidR="00D9171A" w:rsidRPr="00D9171A" w:rsidRDefault="00D9171A" w:rsidP="00D91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1A">
        <w:rPr>
          <w:rFonts w:ascii="Times New Roman" w:hAnsi="Times New Roman" w:cs="Times New Roman"/>
          <w:b/>
          <w:sz w:val="28"/>
          <w:szCs w:val="28"/>
        </w:rPr>
        <w:t>штаба оповещения и пункта сбора граждан,</w:t>
      </w:r>
    </w:p>
    <w:p w:rsidR="00D9171A" w:rsidRPr="00D9171A" w:rsidRDefault="00D9171A" w:rsidP="00D91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171A">
        <w:rPr>
          <w:rFonts w:ascii="Times New Roman" w:hAnsi="Times New Roman" w:cs="Times New Roman"/>
          <w:b/>
          <w:sz w:val="28"/>
          <w:szCs w:val="28"/>
        </w:rPr>
        <w:t>пребывающих</w:t>
      </w:r>
      <w:proofErr w:type="gramEnd"/>
      <w:r w:rsidRPr="00D9171A">
        <w:rPr>
          <w:rFonts w:ascii="Times New Roman" w:hAnsi="Times New Roman" w:cs="Times New Roman"/>
          <w:b/>
          <w:sz w:val="28"/>
          <w:szCs w:val="28"/>
        </w:rPr>
        <w:t xml:space="preserve"> в запасе </w:t>
      </w:r>
    </w:p>
    <w:p w:rsidR="00D9171A" w:rsidRPr="00D9171A" w:rsidRDefault="00D9171A" w:rsidP="00D91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3"/>
        <w:gridCol w:w="2510"/>
        <w:gridCol w:w="980"/>
        <w:gridCol w:w="981"/>
        <w:gridCol w:w="1985"/>
      </w:tblGrid>
      <w:tr w:rsidR="00D9171A" w:rsidRPr="00D9171A" w:rsidTr="00110F67">
        <w:tc>
          <w:tcPr>
            <w:tcW w:w="2723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Должность в структуре ШО и ПС</w:t>
            </w:r>
          </w:p>
        </w:tc>
        <w:tc>
          <w:tcPr>
            <w:tcW w:w="251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Должность в структуре администрации</w:t>
            </w:r>
          </w:p>
        </w:tc>
        <w:tc>
          <w:tcPr>
            <w:tcW w:w="1961" w:type="dxa"/>
            <w:gridSpan w:val="2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Количество (чел)</w:t>
            </w:r>
          </w:p>
        </w:tc>
        <w:tc>
          <w:tcPr>
            <w:tcW w:w="1985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</w:tr>
      <w:tr w:rsidR="00D9171A" w:rsidRPr="00D9171A" w:rsidTr="00110F67">
        <w:tc>
          <w:tcPr>
            <w:tcW w:w="2723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Начальник ШО и ПС</w:t>
            </w:r>
          </w:p>
        </w:tc>
        <w:tc>
          <w:tcPr>
            <w:tcW w:w="251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98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723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Помощник начальника ШО и ПС по оповещению</w:t>
            </w:r>
          </w:p>
        </w:tc>
        <w:tc>
          <w:tcPr>
            <w:tcW w:w="251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8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723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начальника ШО и ПС по отправке </w:t>
            </w:r>
            <w:proofErr w:type="spellStart"/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мобресурсов</w:t>
            </w:r>
            <w:proofErr w:type="spellEnd"/>
          </w:p>
        </w:tc>
        <w:tc>
          <w:tcPr>
            <w:tcW w:w="251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8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723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Технический работник</w:t>
            </w:r>
          </w:p>
        </w:tc>
        <w:tc>
          <w:tcPr>
            <w:tcW w:w="251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8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723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 xml:space="preserve">Посыльный по </w:t>
            </w:r>
            <w:proofErr w:type="gramStart"/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оповещении</w:t>
            </w:r>
            <w:proofErr w:type="gramEnd"/>
            <w:r w:rsidRPr="00D9171A">
              <w:rPr>
                <w:rFonts w:ascii="Times New Roman" w:hAnsi="Times New Roman" w:cs="Times New Roman"/>
                <w:sz w:val="28"/>
                <w:szCs w:val="28"/>
              </w:rPr>
              <w:t xml:space="preserve"> (по домашним и служебным адресам)</w:t>
            </w:r>
          </w:p>
        </w:tc>
        <w:tc>
          <w:tcPr>
            <w:tcW w:w="251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8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723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Сопровождающий для доставки </w:t>
            </w:r>
            <w:proofErr w:type="spellStart"/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мобресурсов</w:t>
            </w:r>
            <w:proofErr w:type="spellEnd"/>
          </w:p>
        </w:tc>
        <w:tc>
          <w:tcPr>
            <w:tcW w:w="251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8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723" w:type="dxa"/>
          </w:tcPr>
          <w:p w:rsidR="00D9171A" w:rsidRPr="00D9171A" w:rsidRDefault="00D9171A" w:rsidP="00D9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51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1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sz w:val="28"/>
          <w:szCs w:val="28"/>
          <w:highlight w:val="yellow"/>
        </w:rPr>
        <w:t>Количество должностей определяет ВК Моркинского района</w:t>
      </w: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32" w:type="dxa"/>
        <w:tblLook w:val="04A0"/>
      </w:tblPr>
      <w:tblGrid>
        <w:gridCol w:w="3983"/>
        <w:gridCol w:w="4272"/>
      </w:tblGrid>
      <w:tr w:rsidR="00D9171A" w:rsidRPr="00D9171A" w:rsidTr="00110F67">
        <w:tc>
          <w:tcPr>
            <w:tcW w:w="3983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proofErr w:type="spellStart"/>
            <w:r w:rsidR="00ED4ADF">
              <w:rPr>
                <w:rFonts w:ascii="Times New Roman" w:hAnsi="Times New Roman" w:cs="Times New Roman"/>
                <w:sz w:val="28"/>
                <w:szCs w:val="28"/>
              </w:rPr>
              <w:t>Шиньшинской</w:t>
            </w:r>
            <w:proofErr w:type="spellEnd"/>
            <w:r w:rsidR="00ED4A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  <w:p w:rsidR="00D9171A" w:rsidRPr="00D9171A" w:rsidRDefault="00D9171A" w:rsidP="00ED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D4ADF">
              <w:rPr>
                <w:rFonts w:ascii="Times New Roman" w:hAnsi="Times New Roman" w:cs="Times New Roman"/>
                <w:sz w:val="28"/>
                <w:szCs w:val="28"/>
              </w:rPr>
              <w:t>3.06.</w:t>
            </w: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 xml:space="preserve">2021 № </w:t>
            </w:r>
            <w:r w:rsidR="00ED4AD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sz w:val="28"/>
          <w:szCs w:val="28"/>
        </w:rPr>
        <w:t>( схема разрабатывается ВУР)</w:t>
      </w: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1A">
        <w:rPr>
          <w:rFonts w:ascii="Times New Roman" w:hAnsi="Times New Roman" w:cs="Times New Roman"/>
          <w:b/>
          <w:sz w:val="28"/>
          <w:szCs w:val="28"/>
        </w:rPr>
        <w:t>Схема организации и проведения оповещения граждан,</w:t>
      </w:r>
    </w:p>
    <w:p w:rsidR="00D9171A" w:rsidRPr="00D9171A" w:rsidRDefault="00D9171A" w:rsidP="00D9171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1A">
        <w:rPr>
          <w:rFonts w:ascii="Times New Roman" w:hAnsi="Times New Roman" w:cs="Times New Roman"/>
          <w:b/>
          <w:sz w:val="28"/>
          <w:szCs w:val="28"/>
        </w:rPr>
        <w:t xml:space="preserve"> пребывающих в запасе и имеющих мобилизационные предписания, а также граждан - владельцев транспортных средств</w:t>
      </w:r>
    </w:p>
    <w:p w:rsidR="00D9171A" w:rsidRPr="00D9171A" w:rsidRDefault="00D9171A" w:rsidP="00D9171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171A">
        <w:rPr>
          <w:rFonts w:ascii="Times New Roman" w:hAnsi="Times New Roman" w:cs="Times New Roman"/>
          <w:i/>
          <w:sz w:val="28"/>
          <w:szCs w:val="28"/>
        </w:rPr>
        <w:t>(пример)</w:t>
      </w:r>
    </w:p>
    <w:p w:rsidR="00D9171A" w:rsidRPr="00D9171A" w:rsidRDefault="00D9171A" w:rsidP="00D9171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1A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9.7pt;margin-top:42.95pt;width:.75pt;height:27.4pt;z-index:251662336" o:connectortype="straight">
            <v:stroke endarrow="block"/>
          </v:shape>
        </w:pict>
      </w:r>
      <w:r w:rsidRPr="00D9171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26.45pt;margin-top:9.2pt;width:166.5pt;height:33.75pt;z-index:251660288">
            <v:textbox>
              <w:txbxContent>
                <w:p w:rsidR="00D9171A" w:rsidRPr="00ED4ADF" w:rsidRDefault="00D9171A" w:rsidP="00D917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Военный комиссариат </w:t>
                  </w:r>
                </w:p>
                <w:p w:rsidR="00D9171A" w:rsidRPr="000112A8" w:rsidRDefault="00D9171A" w:rsidP="00D9171A">
                  <w:pPr>
                    <w:jc w:val="center"/>
                    <w:rPr>
                      <w:sz w:val="24"/>
                      <w:szCs w:val="24"/>
                    </w:rPr>
                  </w:pPr>
                  <w:r w:rsidRPr="000112A8">
                    <w:rPr>
                      <w:sz w:val="24"/>
                      <w:szCs w:val="24"/>
                    </w:rPr>
                    <w:t>Моркинского района</w:t>
                  </w:r>
                </w:p>
              </w:txbxContent>
            </v:textbox>
          </v:rect>
        </w:pict>
      </w: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104.7pt;margin-top:5.95pt;width:197.25pt;height:50.25pt;z-index:251661312">
            <v:textbox>
              <w:txbxContent>
                <w:p w:rsidR="00D9171A" w:rsidRPr="00ED4ADF" w:rsidRDefault="00D9171A" w:rsidP="00ED4A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ED4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proofErr w:type="spellStart"/>
                  <w:r w:rsidR="00ED4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Шиньшинской</w:t>
                  </w:r>
                  <w:proofErr w:type="spellEnd"/>
                  <w:r w:rsidRPr="00ED4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сельской администрации</w:t>
                  </w:r>
                </w:p>
              </w:txbxContent>
            </v:textbox>
          </v:rect>
        </w:pict>
      </w: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209.7pt;margin-top:7.9pt;width:.05pt;height:20.25pt;z-index:251664384" o:connectortype="straight">
            <v:stroke endarrow="block"/>
          </v:shape>
        </w:pict>
      </w: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126.45pt;margin-top:12.1pt;width:166.5pt;height:25.1pt;z-index:251663360">
            <v:textbox>
              <w:txbxContent>
                <w:p w:rsidR="00D9171A" w:rsidRPr="00ED4ADF" w:rsidRDefault="00D9171A" w:rsidP="00D917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Военно-учетный работник</w:t>
                  </w:r>
                </w:p>
              </w:txbxContent>
            </v:textbox>
          </v:rect>
        </w:pict>
      </w: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69.7pt;margin-top:5pt;width:41.25pt;height:39pt;z-index:251667456" o:connectortype="straight">
            <v:stroke endarrow="block"/>
          </v:shape>
        </w:pict>
      </w:r>
      <w:r w:rsidRPr="00D9171A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09.7pt;margin-top:5pt;width:0;height:39pt;z-index:251666432" o:connectortype="straight">
            <v:stroke endarrow="block"/>
          </v:shape>
        </w:pict>
      </w:r>
      <w:r w:rsidRPr="00D9171A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91.95pt;margin-top:5pt;width:51pt;height:39pt;flip:x;z-index:251665408" o:connectortype="straight">
            <v:stroke endarrow="block"/>
          </v:shape>
        </w:pict>
      </w: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292.95pt;margin-top:11.8pt;width:94.5pt;height:34.5pt;z-index:251670528"/>
        </w:pict>
      </w:r>
      <w:r w:rsidRPr="00D9171A"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167.7pt;margin-top:11.8pt;width:78.75pt;height:34.5pt;z-index:251669504"/>
        </w:pict>
      </w:r>
      <w:r w:rsidRPr="00D9171A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39.45pt;margin-top:11.8pt;width:87pt;height:34.5pt;z-index:251668480"/>
        </w:pict>
      </w: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32" w:type="dxa"/>
        <w:tblLook w:val="04A0"/>
      </w:tblPr>
      <w:tblGrid>
        <w:gridCol w:w="3983"/>
        <w:gridCol w:w="4272"/>
      </w:tblGrid>
      <w:tr w:rsidR="00D9171A" w:rsidRPr="00D9171A" w:rsidTr="00110F67">
        <w:tc>
          <w:tcPr>
            <w:tcW w:w="3983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proofErr w:type="spellStart"/>
            <w:r w:rsidR="00ED4ADF">
              <w:rPr>
                <w:rFonts w:ascii="Times New Roman" w:hAnsi="Times New Roman" w:cs="Times New Roman"/>
                <w:sz w:val="28"/>
                <w:szCs w:val="28"/>
              </w:rPr>
              <w:t>Шиньшинской</w:t>
            </w:r>
            <w:proofErr w:type="spellEnd"/>
            <w:r w:rsidR="00ED4A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  <w:p w:rsidR="00D9171A" w:rsidRPr="00D9171A" w:rsidRDefault="00ED4ADF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3.06.</w:t>
            </w:r>
            <w:r w:rsidR="00D9171A" w:rsidRPr="00D9171A">
              <w:rPr>
                <w:rFonts w:ascii="Times New Roman" w:hAnsi="Times New Roman" w:cs="Times New Roman"/>
                <w:sz w:val="28"/>
                <w:szCs w:val="28"/>
              </w:rPr>
              <w:t xml:space="preserve">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9171A" w:rsidRPr="00D9171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1A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D9171A" w:rsidRPr="00D9171A" w:rsidRDefault="00D9171A" w:rsidP="00D91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1A">
        <w:rPr>
          <w:rFonts w:ascii="Times New Roman" w:hAnsi="Times New Roman" w:cs="Times New Roman"/>
          <w:b/>
          <w:sz w:val="28"/>
          <w:szCs w:val="28"/>
        </w:rPr>
        <w:t>выделения транспорта организаций для организации оповещения и доставки граждан, пребывающих в запасе и состава аппарата усиления</w:t>
      </w:r>
    </w:p>
    <w:p w:rsidR="00D9171A" w:rsidRPr="00D9171A" w:rsidRDefault="00D9171A" w:rsidP="00D91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0"/>
        <w:gridCol w:w="1777"/>
        <w:gridCol w:w="1551"/>
        <w:gridCol w:w="1598"/>
        <w:gridCol w:w="1713"/>
      </w:tblGrid>
      <w:tr w:rsidR="00D9171A" w:rsidRPr="00D9171A" w:rsidTr="00110F67">
        <w:tc>
          <w:tcPr>
            <w:tcW w:w="2540" w:type="dxa"/>
            <w:vMerge w:val="restart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выделяющей транспорт</w:t>
            </w:r>
          </w:p>
        </w:tc>
        <w:tc>
          <w:tcPr>
            <w:tcW w:w="3328" w:type="dxa"/>
            <w:gridSpan w:val="2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выделяемой техники</w:t>
            </w:r>
          </w:p>
        </w:tc>
        <w:tc>
          <w:tcPr>
            <w:tcW w:w="1598" w:type="dxa"/>
            <w:vMerge w:val="restart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b/>
                <w:sz w:val="28"/>
                <w:szCs w:val="28"/>
              </w:rPr>
              <w:t>Вид, марка техники</w:t>
            </w:r>
          </w:p>
        </w:tc>
        <w:tc>
          <w:tcPr>
            <w:tcW w:w="1713" w:type="dxa"/>
            <w:vMerge w:val="restart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водителей</w:t>
            </w:r>
          </w:p>
        </w:tc>
      </w:tr>
      <w:tr w:rsidR="00D9171A" w:rsidRPr="00D9171A" w:rsidTr="00110F67">
        <w:tc>
          <w:tcPr>
            <w:tcW w:w="2540" w:type="dxa"/>
            <w:vMerge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для оповещения и сбора ГПЗ и аппарат усиления</w:t>
            </w:r>
          </w:p>
        </w:tc>
        <w:tc>
          <w:tcPr>
            <w:tcW w:w="1551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sz w:val="28"/>
                <w:szCs w:val="28"/>
              </w:rPr>
              <w:t>для доставки ГПЗ на ППСГ</w:t>
            </w:r>
          </w:p>
        </w:tc>
        <w:tc>
          <w:tcPr>
            <w:tcW w:w="1598" w:type="dxa"/>
            <w:vMerge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54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54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54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54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71A" w:rsidRPr="00D9171A" w:rsidTr="00110F67">
        <w:tc>
          <w:tcPr>
            <w:tcW w:w="2540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1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77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D9171A" w:rsidRPr="00D9171A" w:rsidRDefault="00D9171A" w:rsidP="00D9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171A" w:rsidRPr="00D9171A" w:rsidRDefault="00D9171A" w:rsidP="00D91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171A" w:rsidRPr="00D9171A" w:rsidRDefault="00D9171A" w:rsidP="00D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171A" w:rsidRPr="00D9171A" w:rsidSect="005B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8E2"/>
    <w:multiLevelType w:val="hybridMultilevel"/>
    <w:tmpl w:val="242612DC"/>
    <w:lvl w:ilvl="0" w:tplc="B04831B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9171A"/>
    <w:rsid w:val="0029584F"/>
    <w:rsid w:val="00392FA3"/>
    <w:rsid w:val="005B4A36"/>
    <w:rsid w:val="00D9171A"/>
    <w:rsid w:val="00ED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1"/>
        <o:r id="V:Rule4" type="connector" idref="#_x0000_s1032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1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917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171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1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863b7f7b-da84-46a0-829e-ff86d1b7a783">42</_x2116__x0020__x0434__x043e__x043a__x0443__x043c__x0435__x043d__x0442__x0430_>
    <_x0414__x0430__x0442__x0430__x0020__x0434__x043e__x043a__x0443__x043c__x0435__x043d__x0442__x0430_ xmlns="863b7f7b-da84-46a0-829e-ff86d1b7a783">2021-06-02T21:00:00+00:00</_x0414__x0430__x0442__x0430__x0020__x0434__x043e__x043a__x0443__x043c__x0435__x043d__x0442__x0430_>
    <_dlc_DocId xmlns="57504d04-691e-4fc4-8f09-4f19fdbe90f6">XXJ7TYMEEKJ2-4367-845</_dlc_DocId>
    <_dlc_DocIdUrl xmlns="57504d04-691e-4fc4-8f09-4f19fdbe90f6">
      <Url>https://vip.gov.mari.ru/morki/shinsha/_layouts/DocIdRedir.aspx?ID=XXJ7TYMEEKJ2-4367-845</Url>
      <Description>XXJ7TYMEEKJ2-4367-845</Description>
    </_dlc_DocIdUrl>
  </documentManagement>
</p:properties>
</file>

<file path=customXml/itemProps1.xml><?xml version="1.0" encoding="utf-8"?>
<ds:datastoreItem xmlns:ds="http://schemas.openxmlformats.org/officeDocument/2006/customXml" ds:itemID="{0BCBF231-91BD-4FDF-9129-881421E38445}"/>
</file>

<file path=customXml/itemProps2.xml><?xml version="1.0" encoding="utf-8"?>
<ds:datastoreItem xmlns:ds="http://schemas.openxmlformats.org/officeDocument/2006/customXml" ds:itemID="{6675BB88-ED6B-4020-BE11-E790623C9253}"/>
</file>

<file path=customXml/itemProps3.xml><?xml version="1.0" encoding="utf-8"?>
<ds:datastoreItem xmlns:ds="http://schemas.openxmlformats.org/officeDocument/2006/customXml" ds:itemID="{275CA2E0-0E4D-4E01-A2F0-44E00EB45538}"/>
</file>

<file path=customXml/itemProps4.xml><?xml version="1.0" encoding="utf-8"?>
<ds:datastoreItem xmlns:ds="http://schemas.openxmlformats.org/officeDocument/2006/customXml" ds:itemID="{84776447-6872-4B2D-99C2-2FC9134A3D63}"/>
</file>

<file path=customXml/itemProps5.xml><?xml version="1.0" encoding="utf-8"?>
<ds:datastoreItem xmlns:ds="http://schemas.openxmlformats.org/officeDocument/2006/customXml" ds:itemID="{438F9222-9E8B-40F3-BEC8-C38B142A8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42 от 3.06.2021</dc:title>
  <dc:creator>user</dc:creator>
  <cp:lastModifiedBy>user</cp:lastModifiedBy>
  <cp:revision>2</cp:revision>
  <dcterms:created xsi:type="dcterms:W3CDTF">2021-06-03T11:36:00Z</dcterms:created>
  <dcterms:modified xsi:type="dcterms:W3CDTF">2021-06-03T12:01:00Z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fb0b782d-c464-47dd-a03b-7600e316048e</vt:lpwstr>
  </property>
</Properties>
</file>